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E78" w14:textId="522B67F8" w:rsidR="005F11A9" w:rsidRPr="005F11A9" w:rsidRDefault="00055104" w:rsidP="00E36244">
      <w:pPr>
        <w:shd w:val="clear" w:color="auto" w:fill="A8D08D" w:themeFill="accent6" w:themeFillTint="99"/>
        <w:spacing w:before="120" w:line="276" w:lineRule="auto"/>
        <w:jc w:val="center"/>
        <w:rPr>
          <w:b/>
          <w:bCs/>
        </w:rPr>
      </w:pPr>
      <w:r w:rsidRPr="005F11A9">
        <w:rPr>
          <w:b/>
          <w:bCs/>
        </w:rPr>
        <w:t xml:space="preserve">Finanční rozvaha </w:t>
      </w:r>
      <w:r w:rsidR="00E36244">
        <w:rPr>
          <w:b/>
          <w:bCs/>
        </w:rPr>
        <w:t xml:space="preserve">projektu </w:t>
      </w:r>
      <w:r w:rsidRPr="005F11A9">
        <w:rPr>
          <w:b/>
          <w:bCs/>
        </w:rPr>
        <w:t>v žádosti o dotaci</w:t>
      </w:r>
    </w:p>
    <w:p w14:paraId="48EDD73C" w14:textId="77777777" w:rsidR="00FC417F" w:rsidRDefault="00FC417F" w:rsidP="00FC417F">
      <w:pPr>
        <w:pStyle w:val="Odstavecseseznamem"/>
        <w:spacing w:before="120" w:line="276" w:lineRule="auto"/>
        <w:jc w:val="both"/>
      </w:pPr>
    </w:p>
    <w:p w14:paraId="194624B5" w14:textId="25C31AF4" w:rsidR="00E36244" w:rsidRDefault="00E36244" w:rsidP="00E36244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>
        <w:t xml:space="preserve">vysvětlení jednotlivých </w:t>
      </w:r>
      <w:r w:rsidRPr="00E36244">
        <w:rPr>
          <w:b/>
          <w:bCs/>
        </w:rPr>
        <w:t>položek na straně č. 3 formuláře</w:t>
      </w:r>
      <w:r>
        <w:t xml:space="preserve"> žádosti o dotaci</w:t>
      </w:r>
    </w:p>
    <w:p w14:paraId="5BE35AEA" w14:textId="4C23547C" w:rsidR="00E36244" w:rsidRDefault="00E36244" w:rsidP="00E36244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FC417F">
        <w:rPr>
          <w:b/>
          <w:bCs/>
          <w:u w:val="single"/>
          <w:shd w:val="clear" w:color="auto" w:fill="E2EFD9" w:themeFill="accent6" w:themeFillTint="33"/>
        </w:rPr>
        <w:t>pravidla jednotlivých položek je nutné dodržet</w:t>
      </w:r>
      <w:r>
        <w:t xml:space="preserve"> – bude kontrolováno při závěrečném vyúčtování dotace</w:t>
      </w:r>
    </w:p>
    <w:p w14:paraId="06E8080C" w14:textId="77777777" w:rsidR="00FC417F" w:rsidRDefault="00FC417F" w:rsidP="00FC417F">
      <w:pPr>
        <w:spacing w:before="120" w:line="276" w:lineRule="auto"/>
        <w:jc w:val="both"/>
        <w:rPr>
          <w:b/>
          <w:bCs/>
        </w:rPr>
      </w:pPr>
    </w:p>
    <w:p w14:paraId="16153CC5" w14:textId="258BFFFB" w:rsidR="005128EC" w:rsidRDefault="005F11A9" w:rsidP="00E36244">
      <w:pPr>
        <w:shd w:val="clear" w:color="auto" w:fill="A8D08D" w:themeFill="accent6" w:themeFillTint="99"/>
        <w:spacing w:before="120" w:line="276" w:lineRule="auto"/>
        <w:jc w:val="both"/>
        <w:rPr>
          <w:b/>
          <w:bCs/>
        </w:rPr>
      </w:pPr>
      <w:r w:rsidRPr="00FC3AA4">
        <w:rPr>
          <w:b/>
          <w:bCs/>
        </w:rPr>
        <w:t xml:space="preserve">Program </w:t>
      </w:r>
      <w:r w:rsidR="00055104" w:rsidRPr="00FC3AA4">
        <w:rPr>
          <w:b/>
          <w:bCs/>
        </w:rPr>
        <w:t>4.3 Specifická primární prevence rizikového chování</w:t>
      </w:r>
      <w:r w:rsidR="005128EC">
        <w:rPr>
          <w:b/>
          <w:bCs/>
        </w:rPr>
        <w:t xml:space="preserve"> </w:t>
      </w:r>
    </w:p>
    <w:p w14:paraId="66A0FC8B" w14:textId="4F1EC983" w:rsidR="00055104" w:rsidRPr="00FC3AA4" w:rsidRDefault="005128EC" w:rsidP="00E36244">
      <w:pPr>
        <w:shd w:val="clear" w:color="auto" w:fill="A8D08D" w:themeFill="accent6" w:themeFillTint="99"/>
        <w:spacing w:before="120" w:line="276" w:lineRule="auto"/>
        <w:jc w:val="both"/>
        <w:rPr>
          <w:b/>
          <w:bCs/>
        </w:rPr>
      </w:pPr>
      <w:r>
        <w:rPr>
          <w:b/>
          <w:bCs/>
        </w:rPr>
        <w:t xml:space="preserve">– </w:t>
      </w:r>
      <w:r w:rsidRPr="005128EC">
        <w:rPr>
          <w:i/>
          <w:iCs/>
        </w:rPr>
        <w:t>účelová neinvestiční dotace</w:t>
      </w:r>
      <w:r w:rsidR="006351D2">
        <w:rPr>
          <w:i/>
          <w:iCs/>
        </w:rPr>
        <w:t>: např. preventivní programy, adaptační kurzy apod.</w:t>
      </w:r>
    </w:p>
    <w:p w14:paraId="02CA4A2B" w14:textId="77777777" w:rsidR="00FC417F" w:rsidRDefault="00FC417F" w:rsidP="00E36244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4F8401C9" w14:textId="17E06C17" w:rsidR="00CD483B" w:rsidRPr="005F11A9" w:rsidRDefault="006351D2" w:rsidP="00E36244">
      <w:pPr>
        <w:spacing w:before="120" w:line="276" w:lineRule="auto"/>
        <w:jc w:val="both"/>
        <w:rPr>
          <w:i/>
          <w:iCs/>
          <w:u w:val="single"/>
        </w:rPr>
      </w:pPr>
      <w:bookmarkStart w:id="0" w:name="_Hlk122356834"/>
      <w:r w:rsidRPr="006351D2">
        <w:rPr>
          <w:b/>
          <w:bCs/>
          <w:i/>
          <w:iCs/>
          <w:u w:val="single"/>
          <w:shd w:val="clear" w:color="auto" w:fill="E2EFD9" w:themeFill="accent6" w:themeFillTint="33"/>
        </w:rPr>
        <w:t>D</w:t>
      </w:r>
      <w:r w:rsidR="00CD483B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robn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CD483B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dlouhodob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CD483B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nehmotn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CD483B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majet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e</w:t>
      </w:r>
      <w:r w:rsidR="00CD483B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k</w:t>
      </w:r>
      <w:bookmarkEnd w:id="0"/>
    </w:p>
    <w:p w14:paraId="164565BF" w14:textId="77777777" w:rsidR="00CD483B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7F5D0F2C" w14:textId="42D88E35" w:rsidR="00CD483B" w:rsidRPr="005128EC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E36244">
        <w:rPr>
          <w:b/>
          <w:bCs/>
          <w:u w:val="dotted"/>
        </w:rPr>
        <w:t>7 000 Kč</w:t>
      </w:r>
      <w:r w:rsidRPr="005128EC">
        <w:rPr>
          <w:u w:val="dotted"/>
        </w:rPr>
        <w:t xml:space="preserve"> a maximální cena jedné položky </w:t>
      </w:r>
      <w:r w:rsidRPr="00E36244">
        <w:rPr>
          <w:b/>
          <w:bCs/>
          <w:u w:val="dotted"/>
        </w:rPr>
        <w:t>60 000 Kč</w:t>
      </w:r>
    </w:p>
    <w:p w14:paraId="301C136E" w14:textId="34E1FDAB" w:rsidR="00CD483B" w:rsidRPr="00055104" w:rsidRDefault="00CD483B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767A5E63" w14:textId="03C5E308" w:rsidR="00CD483B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nákup software – preventivní programy do PC</w:t>
      </w:r>
    </w:p>
    <w:p w14:paraId="73E18419" w14:textId="77777777" w:rsidR="00FC417F" w:rsidRDefault="00FC417F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41D6FBED" w14:textId="602B156F" w:rsidR="00055104" w:rsidRPr="005F11A9" w:rsidRDefault="006351D2" w:rsidP="00DF37C8">
      <w:pPr>
        <w:spacing w:before="120" w:line="276" w:lineRule="auto"/>
        <w:jc w:val="both"/>
        <w:rPr>
          <w:i/>
          <w:iCs/>
          <w:u w:val="single"/>
        </w:rPr>
      </w:pPr>
      <w:bookmarkStart w:id="1" w:name="_Hlk122356847"/>
      <w:r>
        <w:rPr>
          <w:b/>
          <w:bCs/>
          <w:i/>
          <w:iCs/>
          <w:u w:val="single"/>
          <w:shd w:val="clear" w:color="auto" w:fill="E2EFD9" w:themeFill="accent6" w:themeFillTint="33"/>
        </w:rPr>
        <w:t>D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robn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dlouhodob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hmotn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ý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 xml:space="preserve"> majet</w:t>
      </w:r>
      <w:r>
        <w:rPr>
          <w:b/>
          <w:bCs/>
          <w:i/>
          <w:iCs/>
          <w:u w:val="single"/>
          <w:shd w:val="clear" w:color="auto" w:fill="E2EFD9" w:themeFill="accent6" w:themeFillTint="33"/>
        </w:rPr>
        <w:t>e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k</w:t>
      </w:r>
      <w:bookmarkEnd w:id="1"/>
    </w:p>
    <w:p w14:paraId="21A7921C" w14:textId="33C02EC3" w:rsidR="00CD483B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2FC4DA8D" w14:textId="13C07450" w:rsidR="00055104" w:rsidRPr="005128EC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E36244">
        <w:rPr>
          <w:b/>
          <w:bCs/>
          <w:u w:val="dotted"/>
        </w:rPr>
        <w:t>3 000 Kč</w:t>
      </w:r>
      <w:r w:rsidRPr="005128EC">
        <w:rPr>
          <w:u w:val="dotted"/>
        </w:rPr>
        <w:t xml:space="preserve"> a maximální cena jedné položky </w:t>
      </w:r>
      <w:r w:rsidRPr="00E36244">
        <w:rPr>
          <w:b/>
          <w:bCs/>
          <w:u w:val="dotted"/>
        </w:rPr>
        <w:t>40 000 Kč</w:t>
      </w:r>
    </w:p>
    <w:p w14:paraId="61C2CEBB" w14:textId="4CFB98D1" w:rsidR="00055104" w:rsidRDefault="00055104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419311D7" w14:textId="29AE79E5" w:rsidR="00CD483B" w:rsidRPr="00055104" w:rsidRDefault="00CD483B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 xml:space="preserve">uznatelné náklady: např. notebooky, tablety atd. </w:t>
      </w:r>
    </w:p>
    <w:p w14:paraId="631FE86F" w14:textId="77777777" w:rsidR="00FC417F" w:rsidRDefault="00FC417F" w:rsidP="00DF37C8">
      <w:pPr>
        <w:spacing w:before="120" w:line="276" w:lineRule="auto"/>
        <w:jc w:val="both"/>
        <w:outlineLvl w:val="0"/>
        <w:rPr>
          <w:i/>
          <w:iCs/>
          <w:u w:val="single"/>
          <w:shd w:val="clear" w:color="auto" w:fill="E2EFD9" w:themeFill="accent6" w:themeFillTint="33"/>
        </w:rPr>
      </w:pPr>
    </w:p>
    <w:p w14:paraId="6769B623" w14:textId="51DBB68A" w:rsidR="00CD483B" w:rsidRPr="005F11A9" w:rsidRDefault="006351D2" w:rsidP="00DF37C8">
      <w:pPr>
        <w:spacing w:before="120" w:line="276" w:lineRule="auto"/>
        <w:jc w:val="both"/>
        <w:outlineLvl w:val="0"/>
        <w:rPr>
          <w:i/>
          <w:iCs/>
          <w:u w:val="single"/>
        </w:rPr>
      </w:pPr>
      <w:r>
        <w:rPr>
          <w:i/>
          <w:iCs/>
          <w:u w:val="single"/>
          <w:shd w:val="clear" w:color="auto" w:fill="E2EFD9" w:themeFill="accent6" w:themeFillTint="33"/>
        </w:rPr>
        <w:t>N</w:t>
      </w:r>
      <w:r w:rsidR="00055104" w:rsidRPr="005128EC">
        <w:rPr>
          <w:i/>
          <w:iCs/>
          <w:u w:val="single"/>
          <w:shd w:val="clear" w:color="auto" w:fill="E2EFD9" w:themeFill="accent6" w:themeFillTint="33"/>
        </w:rPr>
        <w:t xml:space="preserve">ákup 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materiálu</w:t>
      </w:r>
    </w:p>
    <w:p w14:paraId="13BD0EA1" w14:textId="286B4447" w:rsidR="00E36244" w:rsidRDefault="00E36244" w:rsidP="00DF37C8">
      <w:pPr>
        <w:pStyle w:val="Odstavecseseznamem"/>
        <w:numPr>
          <w:ilvl w:val="0"/>
          <w:numId w:val="5"/>
        </w:numPr>
        <w:spacing w:before="120" w:line="276" w:lineRule="auto"/>
        <w:jc w:val="both"/>
        <w:outlineLvl w:val="0"/>
      </w:pPr>
      <w:bookmarkStart w:id="2" w:name="_Hlk122356893"/>
      <w:r>
        <w:t>bez omezení výše ceny jedné položky</w:t>
      </w:r>
      <w:bookmarkEnd w:id="2"/>
    </w:p>
    <w:p w14:paraId="4AF61716" w14:textId="59119CE6" w:rsidR="00CD483B" w:rsidRPr="00055104" w:rsidRDefault="00CD483B" w:rsidP="00DF37C8">
      <w:pPr>
        <w:pStyle w:val="Odstavecseseznamem"/>
        <w:numPr>
          <w:ilvl w:val="0"/>
          <w:numId w:val="5"/>
        </w:numPr>
        <w:spacing w:before="120" w:line="276" w:lineRule="auto"/>
        <w:jc w:val="both"/>
        <w:outlineLvl w:val="0"/>
      </w:pPr>
      <w:r>
        <w:t>uznatelné náklady: spotřební materiál – např. papíry, CD, pomůcky, učebnice atd.</w:t>
      </w:r>
    </w:p>
    <w:p w14:paraId="52F8C93A" w14:textId="77777777" w:rsidR="00FC417F" w:rsidRDefault="00FC417F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7965EB28" w14:textId="367AC56C" w:rsidR="00055104" w:rsidRPr="005F11A9" w:rsidRDefault="006351D2" w:rsidP="00DF37C8">
      <w:pPr>
        <w:spacing w:before="120" w:line="276" w:lineRule="auto"/>
        <w:jc w:val="both"/>
        <w:rPr>
          <w:i/>
          <w:iCs/>
          <w:u w:val="single"/>
        </w:rPr>
      </w:pPr>
      <w:r>
        <w:rPr>
          <w:i/>
          <w:iCs/>
          <w:u w:val="single"/>
          <w:shd w:val="clear" w:color="auto" w:fill="E2EFD9" w:themeFill="accent6" w:themeFillTint="33"/>
        </w:rPr>
        <w:t>N</w:t>
      </w:r>
      <w:r w:rsidR="00055104" w:rsidRPr="005128EC">
        <w:rPr>
          <w:i/>
          <w:iCs/>
          <w:u w:val="single"/>
          <w:shd w:val="clear" w:color="auto" w:fill="E2EFD9" w:themeFill="accent6" w:themeFillTint="33"/>
        </w:rPr>
        <w:t xml:space="preserve">ákup </w:t>
      </w:r>
      <w:r w:rsidR="00055104" w:rsidRPr="005128EC">
        <w:rPr>
          <w:b/>
          <w:bCs/>
          <w:i/>
          <w:iCs/>
          <w:u w:val="single"/>
          <w:shd w:val="clear" w:color="auto" w:fill="E2EFD9" w:themeFill="accent6" w:themeFillTint="33"/>
        </w:rPr>
        <w:t>služeb</w:t>
      </w:r>
    </w:p>
    <w:p w14:paraId="455EFC2B" w14:textId="7A2A77A7" w:rsidR="00CD483B" w:rsidRPr="00055104" w:rsidRDefault="00CD483B" w:rsidP="00DF37C8">
      <w:pPr>
        <w:pStyle w:val="Odstavecseseznamem"/>
        <w:numPr>
          <w:ilvl w:val="0"/>
          <w:numId w:val="8"/>
        </w:numPr>
        <w:spacing w:before="120" w:line="276" w:lineRule="auto"/>
        <w:jc w:val="both"/>
      </w:pPr>
      <w:r>
        <w:t>uznatelné náklady: např. preventivní programy ve škole, ubytování, doprava atd.</w:t>
      </w:r>
    </w:p>
    <w:p w14:paraId="6D480EAB" w14:textId="77777777" w:rsidR="00FC417F" w:rsidRDefault="00FC417F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4B7D293C" w14:textId="325CB4BF" w:rsidR="00CD483B" w:rsidRPr="006351D2" w:rsidRDefault="006351D2" w:rsidP="00DF37C8">
      <w:pPr>
        <w:spacing w:before="120" w:line="276" w:lineRule="auto"/>
        <w:jc w:val="both"/>
        <w:rPr>
          <w:b/>
          <w:bCs/>
          <w:i/>
          <w:iCs/>
          <w:u w:val="single"/>
        </w:rPr>
      </w:pPr>
      <w:r w:rsidRPr="006351D2">
        <w:rPr>
          <w:b/>
          <w:bCs/>
          <w:i/>
          <w:iCs/>
          <w:u w:val="single"/>
          <w:shd w:val="clear" w:color="auto" w:fill="E2EFD9" w:themeFill="accent6" w:themeFillTint="33"/>
        </w:rPr>
        <w:t>Osobní náklady</w:t>
      </w:r>
    </w:p>
    <w:p w14:paraId="4F5CF51B" w14:textId="67EFBC99" w:rsidR="00FC3AA4" w:rsidRPr="00FC417F" w:rsidRDefault="00CD483B" w:rsidP="00FC417F">
      <w:pPr>
        <w:pStyle w:val="Odstavecseseznamem"/>
        <w:numPr>
          <w:ilvl w:val="0"/>
          <w:numId w:val="5"/>
        </w:numPr>
        <w:spacing w:before="120" w:line="276" w:lineRule="auto"/>
        <w:jc w:val="both"/>
      </w:pPr>
      <w:r>
        <w:t xml:space="preserve">uznatelné náklady: </w:t>
      </w:r>
      <w:r w:rsidR="005F11A9">
        <w:t xml:space="preserve">mzdy pro lektory – nutnost dodat </w:t>
      </w:r>
      <w:r w:rsidR="00E36244">
        <w:t xml:space="preserve">při vyúčtování </w:t>
      </w:r>
      <w:r w:rsidR="005F11A9">
        <w:t>např. dohody o</w:t>
      </w:r>
      <w:r w:rsidR="00E36244">
        <w:t> </w:t>
      </w:r>
      <w:r w:rsidR="005F11A9">
        <w:t>provedení práce</w:t>
      </w:r>
    </w:p>
    <w:sectPr w:rsidR="00FC3AA4" w:rsidRPr="00FC417F" w:rsidSect="005128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BF3"/>
    <w:multiLevelType w:val="hybridMultilevel"/>
    <w:tmpl w:val="3204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D09"/>
    <w:multiLevelType w:val="hybridMultilevel"/>
    <w:tmpl w:val="B68CA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08B"/>
    <w:multiLevelType w:val="hybridMultilevel"/>
    <w:tmpl w:val="5308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AAC"/>
    <w:multiLevelType w:val="hybridMultilevel"/>
    <w:tmpl w:val="E5CC7A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6102"/>
    <w:multiLevelType w:val="hybridMultilevel"/>
    <w:tmpl w:val="9B8E2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2D6CDC"/>
    <w:multiLevelType w:val="hybridMultilevel"/>
    <w:tmpl w:val="B012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07666"/>
    <w:multiLevelType w:val="hybridMultilevel"/>
    <w:tmpl w:val="FEC447B2"/>
    <w:lvl w:ilvl="0" w:tplc="D60056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881"/>
    <w:multiLevelType w:val="hybridMultilevel"/>
    <w:tmpl w:val="C8421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2555"/>
    <w:multiLevelType w:val="hybridMultilevel"/>
    <w:tmpl w:val="9E48B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04595">
    <w:abstractNumId w:val="2"/>
  </w:num>
  <w:num w:numId="2" w16cid:durableId="1426341309">
    <w:abstractNumId w:val="5"/>
  </w:num>
  <w:num w:numId="3" w16cid:durableId="18288327">
    <w:abstractNumId w:val="0"/>
  </w:num>
  <w:num w:numId="4" w16cid:durableId="908879778">
    <w:abstractNumId w:val="9"/>
  </w:num>
  <w:num w:numId="5" w16cid:durableId="767501979">
    <w:abstractNumId w:val="6"/>
  </w:num>
  <w:num w:numId="6" w16cid:durableId="878082262">
    <w:abstractNumId w:val="8"/>
  </w:num>
  <w:num w:numId="7" w16cid:durableId="577784257">
    <w:abstractNumId w:val="4"/>
  </w:num>
  <w:num w:numId="8" w16cid:durableId="2009361165">
    <w:abstractNumId w:val="1"/>
  </w:num>
  <w:num w:numId="9" w16cid:durableId="1890726704">
    <w:abstractNumId w:val="7"/>
  </w:num>
  <w:num w:numId="10" w16cid:durableId="72707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04"/>
    <w:rsid w:val="00055104"/>
    <w:rsid w:val="000721EE"/>
    <w:rsid w:val="005128EC"/>
    <w:rsid w:val="005F11A9"/>
    <w:rsid w:val="006351D2"/>
    <w:rsid w:val="007716B0"/>
    <w:rsid w:val="00AF4658"/>
    <w:rsid w:val="00CD483B"/>
    <w:rsid w:val="00DF37C8"/>
    <w:rsid w:val="00E36244"/>
    <w:rsid w:val="00FC3AA4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597"/>
  <w15:chartTrackingRefBased/>
  <w15:docId w15:val="{0C1BBD6A-4104-4797-BAA5-11B3B3E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4</cp:revision>
  <dcterms:created xsi:type="dcterms:W3CDTF">2022-12-19T14:26:00Z</dcterms:created>
  <dcterms:modified xsi:type="dcterms:W3CDTF">2022-12-19T14:32:00Z</dcterms:modified>
</cp:coreProperties>
</file>